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Tansey Casey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2802 FLINTROCK TRACE, SUITE 226</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Mobia Medical, Inc.</w:t>
              </w:r>
            </w:hyperlink>
            <w:r>
              <w:rPr/>
              <w:t xml:space="preserve"> [ </w:t>
            </w:r>
            <w:r>
              <w:rPr>
                <w:rFonts w:ascii="Times;serif" w:hAnsi="Times;serif"/>
                <w:color w:val="0000FF"/>
                <w:sz w:val="24"/>
                <w:shd w:fill="FFFFFF" w:val="clear"/>
              </w:rPr>
              <w:t>MOBI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16,441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12.0749</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318,332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$11.90 to $12.70, inclusive. The Reporting Person undertakes to provide to the Issuer, any security holder,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Chase Leavitt,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4322" TargetMode="External"/><Relationship Id="rId5" Type="http://schemas.openxmlformats.org/officeDocument/2006/relationships/hyperlink" Target="http://www.sec.gov/cgi-bin/browse-edgar?action=getcompany&amp;CIK=00014899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3431</Characters>
  <CharactersWithSpaces>3996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