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Tansey Casey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2802 FLINTROCK TRACE, SUITE 226</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Mobia Medical, Inc.</w:t>
              </w:r>
            </w:hyperlink>
            <w:r>
              <w:rPr/>
              <w:t xml:space="preserve"> [ </w:t>
            </w:r>
            <w:r>
              <w:rPr>
                <w:rFonts w:ascii="Times;serif" w:hAnsi="Times;serif"/>
                <w:color w:val="0000FF"/>
                <w:sz w:val="24"/>
                <w:shd w:fill="FFFFFF" w:val="clear"/>
              </w:rPr>
              <w:t>MOBI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11.5073</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268,904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11.65</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284,625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284,725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17,166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11.8509</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301,891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$11.33 to $11.685, inclusive. The Reporting Person undertakes to provide to the Issuer, any security holder,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$11.42 to $12.01, inclusive. The Reporting Person undertakes to provide to the Issuer, any security holder,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purchased in multiple transactions at prices ranging from $11.675 to $12.37, inclusive. The Reporting Person undertakes to provide to the Issuer, any security holder,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Chase Leavitt,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4322" TargetMode="External"/><Relationship Id="rId5" Type="http://schemas.openxmlformats.org/officeDocument/2006/relationships/hyperlink" Target="http://www.sec.gov/cgi-bin/browse-edgar?action=getcompany&amp;CIK=00014899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798</Words>
  <Characters>4309</Characters>
  <CharactersWithSpaces>5015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