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Curet Myriam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2802 FLINTROCK TRACE, SUITE 226</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07/30/2026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Mobia Medical, Inc.</w:t>
              </w:r>
            </w:hyperlink>
            <w:r>
              <w:rPr/>
              <w:t xml:space="preserve"> [ </w:t>
            </w:r>
            <w:r>
              <w:rPr>
                <w:rFonts w:ascii="Times;serif" w:hAnsi="Times;serif"/>
                <w:color w:val="0000FF"/>
                <w:sz w:val="24"/>
                <w:shd w:fill="FFFFFF" w:val="clear"/>
              </w:rPr>
              <w:t>MOBI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Chase Leavitt,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489993-ex24.htm"/>
      <w:bookmarkStart w:id="3" w:name="ksck0001489993ex24"/>
      <w:bookmarkEnd w:id="2"/>
      <w:bookmarkEnd w:id="3"/>
      <w:r>
        <w:rPr/>
        <w:t> </w:t>
      </w:r>
      <w:r>
        <w:br w:type="page"/>
      </w:r>
    </w:p>
    <w:p>
      <w:pPr>
        <w:pStyle w:val="TextBody"/>
        <w:bidi w:val="0"/>
        <w:jc w:val="left"/>
        <w:rPr/>
      </w:pPr>
      <w:r>
        <w:rPr/>
        <w:t> </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Exhibit 24</w:t>
      </w:r>
    </w:p>
    <w:p>
      <w:pPr>
        <w:pStyle w:val="TextBody"/>
        <w:bidi w:val="0"/>
        <w:spacing w:before="0" w:after="40"/>
        <w:jc w:val="center"/>
        <w:rPr>
          <w:rFonts w:ascii="Times New Roman" w:hAnsi="Times New Roman"/>
          <w:b/>
          <w:smallCaps/>
          <w:color w:val="000000"/>
          <w:sz w:val="22"/>
        </w:rPr>
      </w:pPr>
      <w:r>
        <w:rPr>
          <w:rFonts w:ascii="Times New Roman" w:hAnsi="Times New Roman"/>
          <w:b/>
          <w:smallCaps/>
          <w:color w:val="000000"/>
          <w:sz w:val="22"/>
        </w:rPr>
        <w:t>MOBIA MEDICAL, INC.</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POWER OF ATTORNEY</w:t>
      </w:r>
    </w:p>
    <w:p>
      <w:pPr>
        <w:pStyle w:val="TextBody"/>
        <w:bidi w:val="0"/>
        <w:spacing w:before="4" w:after="283"/>
        <w:jc w:val="both"/>
        <w:rPr>
          <w:rFonts w:ascii="Times New Roman" w:hAnsi="Times New Roman"/>
          <w:color w:val="000000"/>
          <w:sz w:val="22"/>
        </w:rPr>
      </w:pPr>
      <w:r>
        <w:rPr>
          <w:rFonts w:ascii="Times New Roman" w:hAnsi="Times New Roman"/>
          <w:color w:val="000000"/>
          <w:sz w:val="22"/>
        </w:rPr>
        <w:t>With respect to holdings of and transactions in securities issued by Mobia Medical,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pStyle w:val="TextBody"/>
        <w:bidi w:val="0"/>
        <w:spacing w:before="4" w:after="283"/>
        <w:jc w:val="both"/>
        <w:rPr/>
      </w:pPr>
      <w:r>
        <w:rPr/>
        <w:t> </w:t>
      </w:r>
    </w:p>
    <w:p>
      <w:pPr>
        <w:pStyle w:val="TextBody"/>
        <w:bidi w:val="0"/>
        <w:spacing w:before="4"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4" w:after="283"/>
        <w:jc w:val="both"/>
        <w:rPr>
          <w:rFonts w:ascii="Times New Roman" w:hAnsi="Times New Roman"/>
          <w:color w:val="000000"/>
          <w:sz w:val="22"/>
        </w:rPr>
      </w:pPr>
      <w:r>
        <w:rPr>
          <w:rFonts w:ascii="Times New Roman" w:hAnsi="Times New Roman"/>
          <w:color w:val="000000"/>
          <w:sz w:val="22"/>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 and Notices of Proposed Sale of Securities Pursuant to Rule 144 (“Form 144”), in accordance with the requirements of Rule 144 under the Securities Act of 1933, as amended (the “Securities Act”); and</w:t>
      </w:r>
    </w:p>
    <w:p>
      <w:pPr>
        <w:pStyle w:val="TextBody"/>
        <w:bidi w:val="0"/>
        <w:spacing w:before="4" w:after="283"/>
        <w:jc w:val="both"/>
        <w:rPr/>
      </w:pPr>
      <w:r>
        <w:rPr/>
        <w:t> </w:t>
      </w:r>
    </w:p>
    <w:p>
      <w:pPr>
        <w:pStyle w:val="TextBody"/>
        <w:bidi w:val="0"/>
        <w:spacing w:before="4"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4" w:after="283"/>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left"/>
        <w:rPr/>
      </w:pPr>
      <w:r>
        <w:rPr/>
        <w:t> </w:t>
      </w:r>
    </w:p>
    <w:p>
      <w:pPr>
        <w:pStyle w:val="TextBody"/>
        <w:bidi w:val="0"/>
        <w:spacing w:before="4" w:after="283"/>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4" w:after="283"/>
        <w:jc w:val="both"/>
        <w:rPr/>
      </w:pPr>
      <w:r>
        <w:rPr/>
        <w:t> </w:t>
      </w:r>
    </w:p>
    <w:p>
      <w:pPr>
        <w:pStyle w:val="TextBody"/>
        <w:bidi w:val="0"/>
        <w:spacing w:before="4" w:after="283"/>
        <w:jc w:val="both"/>
        <w:rPr>
          <w:rFonts w:ascii="Times New Roman" w:hAnsi="Times New Roman"/>
          <w:color w:val="000000"/>
          <w:sz w:val="22"/>
        </w:rPr>
      </w:pPr>
      <w:r>
        <w:rPr>
          <w:rFonts w:ascii="Times New Roman" w:hAnsi="Times New Roman"/>
          <w:color w:val="000000"/>
          <w:sz w:val="22"/>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before="4" w:after="283"/>
        <w:jc w:val="both"/>
        <w:rPr/>
      </w:pPr>
      <w:r>
        <w:rPr/>
        <w:t> </w:t>
      </w:r>
    </w:p>
    <w:p>
      <w:pPr>
        <w:pStyle w:val="TextBody"/>
        <w:bidi w:val="0"/>
        <w:spacing w:before="4" w:after="283"/>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before="4" w:after="283"/>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the date set forth below.</w:t>
      </w:r>
    </w:p>
    <w:p>
      <w:pPr>
        <w:pStyle w:val="TextBody"/>
        <w:bidi w:val="0"/>
        <w:jc w:val="left"/>
        <w:rPr/>
      </w:pPr>
      <w:r>
        <w:rPr/>
        <w:t> </w:t>
      </w:r>
    </w:p>
    <w:p>
      <w:pPr>
        <w:pStyle w:val="TextBody"/>
        <w:bidi w:val="0"/>
        <w:jc w:val="left"/>
        <w:rPr/>
      </w:pPr>
      <w:r>
        <w:rPr/>
        <w:t> </w:t>
      </w:r>
    </w:p>
    <w:tbl>
      <w:tblPr>
        <w:tblW w:w="3518" w:type="dxa"/>
        <w:jc w:val="left"/>
        <w:tblInd w:w="0" w:type="dxa"/>
        <w:tblLayout w:type="fixed"/>
        <w:tblCellMar>
          <w:top w:w="28" w:type="dxa"/>
          <w:left w:w="28" w:type="dxa"/>
          <w:bottom w:w="28" w:type="dxa"/>
          <w:right w:w="28" w:type="dxa"/>
        </w:tblCellMar>
      </w:tblPr>
      <w:tblGrid>
        <w:gridCol w:w="161"/>
        <w:gridCol w:w="316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4"/>
              </w:rPr>
            </w:pPr>
            <w:r>
              <w:rPr>
                <w:rFonts w:ascii="Times New Roman" w:hAnsi="Times New Roman"/>
                <w:color w:val="000000"/>
                <w:sz w:val="24"/>
              </w:rPr>
              <w:t>/s/ Myriam J. Curet, MD, FACS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Myriam J. Curet, MD, FACS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7/30/2026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INDIVIDUALS APPOINTED AS ATTORNEY-IN-FACT,</w:t>
      </w:r>
    </w:p>
    <w:p>
      <w:pPr>
        <w:pStyle w:val="TextBody"/>
        <w:bidi w:val="0"/>
        <w:jc w:val="center"/>
        <w:rPr>
          <w:rFonts w:ascii="Times New Roman" w:hAnsi="Times New Roman"/>
          <w:b/>
          <w:color w:val="000000"/>
          <w:sz w:val="20"/>
        </w:rPr>
      </w:pPr>
      <w:r>
        <w:rPr>
          <w:rFonts w:ascii="Times New Roman" w:hAnsi="Times New Roman"/>
          <w:b/>
          <w:color w:val="000000"/>
          <w:sz w:val="20"/>
        </w:rPr>
        <w:t>WITH FULL POWER OF SUBSTITUTION AND RESUBSTITUTION</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1. Richard Foust</w:t>
      </w:r>
    </w:p>
    <w:p>
      <w:pPr>
        <w:pStyle w:val="TextBody"/>
        <w:bidi w:val="0"/>
        <w:jc w:val="left"/>
        <w:rPr>
          <w:rFonts w:ascii="Times New Roman" w:hAnsi="Times New Roman"/>
          <w:color w:val="000000"/>
          <w:sz w:val="20"/>
        </w:rPr>
      </w:pPr>
      <w:r>
        <w:rPr>
          <w:rFonts w:ascii="Times New Roman" w:hAnsi="Times New Roman"/>
          <w:color w:val="000000"/>
          <w:sz w:val="20"/>
        </w:rPr>
        <w:t>2. Bunker Curnes</w:t>
      </w:r>
    </w:p>
    <w:p>
      <w:pPr>
        <w:pStyle w:val="TextBody"/>
        <w:bidi w:val="0"/>
        <w:jc w:val="left"/>
        <w:rPr>
          <w:rFonts w:ascii="Times New Roman" w:hAnsi="Times New Roman"/>
          <w:color w:val="000000"/>
          <w:sz w:val="20"/>
        </w:rPr>
      </w:pPr>
      <w:r>
        <w:rPr>
          <w:rFonts w:ascii="Times New Roman" w:hAnsi="Times New Roman"/>
          <w:color w:val="000000"/>
          <w:sz w:val="20"/>
        </w:rPr>
        <w:t>3. Chase Leavitt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32901" TargetMode="External"/><Relationship Id="rId3" Type="http://schemas.openxmlformats.org/officeDocument/2006/relationships/hyperlink" Target="http://www.sec.gov/cgi-bin/browse-edgar?action=getcompany&amp;CIK=000148999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911</Words>
  <Characters>4822</Characters>
  <CharactersWithSpaces>5690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